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10</w:t>
      </w:r>
      <w:r w:rsidR="00ED6BF1">
        <w:rPr>
          <w:szCs w:val="28"/>
        </w:rPr>
        <w:t>7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ED6BF1">
        <w:rPr>
          <w:b/>
          <w:szCs w:val="28"/>
        </w:rPr>
        <w:t>Кузнецова Евгения Николаевича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ED6BF1">
        <w:rPr>
          <w:b/>
          <w:szCs w:val="28"/>
        </w:rPr>
        <w:t>2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ED6BF1">
        <w:rPr>
          <w:szCs w:val="28"/>
        </w:rPr>
        <w:t>Кузнецовым Евгением Николаевичем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ED6BF1">
        <w:t>2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ED6BF1">
        <w:rPr>
          <w:szCs w:val="28"/>
        </w:rPr>
        <w:t>Кузнецова Евгения Николаевича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E6675E">
        <w:rPr>
          <w:szCs w:val="28"/>
        </w:rPr>
        <w:t>48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</w:t>
      </w:r>
      <w:r w:rsidR="00E6675E">
        <w:rPr>
          <w:szCs w:val="28"/>
        </w:rPr>
        <w:t>гор. Вичуга Ивановской обл.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0106DF">
        <w:rPr>
          <w:szCs w:val="28"/>
        </w:rPr>
        <w:t>пенсионера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E6675E">
        <w:rPr>
          <w:szCs w:val="28"/>
        </w:rPr>
        <w:t>2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9B4DD7">
        <w:rPr>
          <w:szCs w:val="28"/>
        </w:rPr>
        <w:t>0</w:t>
      </w:r>
      <w:r>
        <w:rPr>
          <w:szCs w:val="28"/>
        </w:rPr>
        <w:t xml:space="preserve"> час. </w:t>
      </w:r>
      <w:r w:rsidR="00E6675E">
        <w:rPr>
          <w:szCs w:val="28"/>
        </w:rPr>
        <w:t>4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E6675E">
        <w:rPr>
          <w:szCs w:val="28"/>
        </w:rPr>
        <w:t>Кузнецову Евгению Николаевичу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0E" w:rsidRDefault="0003430E" w:rsidP="00951FED">
      <w:r>
        <w:separator/>
      </w:r>
    </w:p>
  </w:endnote>
  <w:endnote w:type="continuationSeparator" w:id="0">
    <w:p w:rsidR="0003430E" w:rsidRDefault="0003430E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8E1FD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0343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0E" w:rsidRDefault="0003430E" w:rsidP="00951FED">
      <w:r>
        <w:separator/>
      </w:r>
    </w:p>
  </w:footnote>
  <w:footnote w:type="continuationSeparator" w:id="0">
    <w:p w:rsidR="0003430E" w:rsidRDefault="0003430E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8E1FD7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0343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8E1FD7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E6675E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03430E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0343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106DF"/>
    <w:rsid w:val="0003430E"/>
    <w:rsid w:val="000412E6"/>
    <w:rsid w:val="00077B9C"/>
    <w:rsid w:val="000B18C5"/>
    <w:rsid w:val="000C23C2"/>
    <w:rsid w:val="000F2B89"/>
    <w:rsid w:val="001D45CF"/>
    <w:rsid w:val="002471E5"/>
    <w:rsid w:val="002C3501"/>
    <w:rsid w:val="002D7DC2"/>
    <w:rsid w:val="0030252D"/>
    <w:rsid w:val="00365CDC"/>
    <w:rsid w:val="0037686D"/>
    <w:rsid w:val="00392294"/>
    <w:rsid w:val="00397F14"/>
    <w:rsid w:val="003A2B7C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5CB8"/>
    <w:rsid w:val="00666AB3"/>
    <w:rsid w:val="006734B8"/>
    <w:rsid w:val="00686874"/>
    <w:rsid w:val="006D2EFA"/>
    <w:rsid w:val="006E1BAE"/>
    <w:rsid w:val="006E2D93"/>
    <w:rsid w:val="00734D72"/>
    <w:rsid w:val="007F3178"/>
    <w:rsid w:val="0086207E"/>
    <w:rsid w:val="008A3F5F"/>
    <w:rsid w:val="008E1FD7"/>
    <w:rsid w:val="008F622E"/>
    <w:rsid w:val="00951FED"/>
    <w:rsid w:val="00975EBC"/>
    <w:rsid w:val="009B4DD7"/>
    <w:rsid w:val="00A34C27"/>
    <w:rsid w:val="00AD5B0B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01DF2"/>
    <w:rsid w:val="00D55BD2"/>
    <w:rsid w:val="00D62C9D"/>
    <w:rsid w:val="00E471E4"/>
    <w:rsid w:val="00E6611B"/>
    <w:rsid w:val="00E6675E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29</cp:revision>
  <cp:lastPrinted>2017-08-04T04:12:00Z</cp:lastPrinted>
  <dcterms:created xsi:type="dcterms:W3CDTF">2014-07-22T23:00:00Z</dcterms:created>
  <dcterms:modified xsi:type="dcterms:W3CDTF">2017-08-04T04:40:00Z</dcterms:modified>
</cp:coreProperties>
</file>